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  <w:t>开办药品经营企业审批（批发、零售连锁总部）</w:t>
      </w: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  <w:t>“证照分离”改革措施</w:t>
      </w:r>
    </w:p>
    <w:p>
      <w:pPr>
        <w:widowControl/>
        <w:spacing w:line="579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579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根据《江西省人民政府关于在全省推开“证照分离”改革的通知》（赣府发</w:t>
      </w:r>
      <w:r>
        <w:rPr>
          <w:rFonts w:hint="eastAsia" w:ascii="宋体" w:hAnsi="宋体" w:cs="宋体"/>
          <w:szCs w:val="32"/>
        </w:rPr>
        <w:t>〔</w:t>
      </w:r>
      <w:r>
        <w:rPr>
          <w:rFonts w:hint="eastAsia" w:ascii="仿宋_GB2312" w:hAnsi="仿宋_GB2312" w:cs="仿宋_GB2312"/>
          <w:szCs w:val="32"/>
        </w:rPr>
        <w:t>2018</w:t>
      </w:r>
      <w:r>
        <w:rPr>
          <w:rFonts w:hint="eastAsia" w:ascii="宋体" w:hAnsi="宋体" w:cs="宋体"/>
          <w:szCs w:val="32"/>
        </w:rPr>
        <w:t>〕</w:t>
      </w:r>
      <w:r>
        <w:rPr>
          <w:rFonts w:hint="eastAsia" w:ascii="仿宋_GB2312" w:hAnsi="仿宋_GB2312" w:cs="仿宋_GB2312"/>
          <w:szCs w:val="32"/>
        </w:rPr>
        <w:t>40号）精神，从五个方面对开办药品经营企业审批（批发、零售连锁总部）进行优化服务，具体如下：</w:t>
      </w:r>
    </w:p>
    <w:p>
      <w:pPr>
        <w:spacing w:line="579" w:lineRule="exact"/>
        <w:ind w:firstLine="640" w:firstLineChars="20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一、推广网上业务办理</w:t>
      </w:r>
    </w:p>
    <w:p>
      <w:pPr>
        <w:spacing w:line="579" w:lineRule="exact"/>
        <w:ind w:firstLine="640" w:firstLineChars="200"/>
        <w:jc w:val="left"/>
        <w:rPr>
          <w:rFonts w:ascii="方正小标宋简体" w:eastAsia="方正小标宋简体"/>
          <w:szCs w:val="32"/>
        </w:rPr>
      </w:pPr>
      <w:r>
        <w:rPr>
          <w:rFonts w:hint="eastAsia" w:ascii="仿宋_GB2312"/>
          <w:szCs w:val="32"/>
        </w:rPr>
        <w:t>根据“证照分离”改革部署要求，修订办事指南，建立行政许可标准化文本，优化服务。建立网上申报系统，企业可通过省药监局《药品经营许可证》在线申请系统提交材料。</w:t>
      </w:r>
    </w:p>
    <w:p>
      <w:pPr>
        <w:spacing w:line="579" w:lineRule="exact"/>
        <w:ind w:firstLine="640" w:firstLineChars="20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二、压缩审批时限，将法定审批时限压缩三分之一</w:t>
      </w:r>
    </w:p>
    <w:p>
      <w:pPr>
        <w:spacing w:line="579" w:lineRule="exact"/>
        <w:ind w:firstLine="640" w:firstLineChars="200"/>
        <w:jc w:val="left"/>
        <w:rPr>
          <w:rFonts w:ascii="方正小标宋简体" w:eastAsia="方正小标宋简体"/>
          <w:szCs w:val="32"/>
        </w:rPr>
      </w:pPr>
      <w:r>
        <w:rPr>
          <w:rFonts w:hint="eastAsia" w:ascii="仿宋_GB2312"/>
          <w:szCs w:val="32"/>
        </w:rPr>
        <w:t>为进一步优化服务，提高工作效率，降低企业时间成本，在国家法定时限的基础上，将审批时限压缩三分之一，由法定的30个工作日，降低至20个工作日（受理、现场检查、网上公示等时间不计入审批时限）。</w:t>
      </w:r>
    </w:p>
    <w:p>
      <w:pPr>
        <w:spacing w:line="579" w:lineRule="exact"/>
        <w:ind w:firstLine="640" w:firstLineChars="200"/>
        <w:jc w:val="left"/>
        <w:rPr>
          <w:rFonts w:ascii="方正小标宋简体" w:eastAsia="方正小标宋简体"/>
          <w:szCs w:val="32"/>
        </w:rPr>
      </w:pPr>
      <w:r>
        <w:rPr>
          <w:rFonts w:hint="eastAsia" w:ascii="黑体" w:hAnsi="黑体" w:eastAsia="黑体" w:cs="黑体"/>
          <w:szCs w:val="32"/>
        </w:rPr>
        <w:t>三、精简审批材料，在线获取核验营业执照、法定代表人或负责人、质量负责人的身份证明等材料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以证照分离为契机，全面修订办事指南，精简申报资料，在线获取核验营业执照、法定代表人或负责人、质量负责人的身份证明等材料。修订后办事指南申请材料目录如下：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1.药品经营许可证（批发）申请表。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2.省药品监督管理局批准筹建企业的文件。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3.拟办企业对照开办企业验收标准细则自查总结。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4.内审报告。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5.风险评估报告。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6.拟办企业职工花名册（需注明姓名、性别、年龄、学历、专业、技术职称、执业资格、岗位、职务、培训情况、健康状况等）。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7.拟办企业组织机构情况（包括各级组织机构的设置文件，组织机构质量管理职责框架图，企业法定代表人、企业负责人、企业质量负责人、企业质量管理机构负责人任命文件等）。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8.拟办企业药学技术人员的执业资格或技术职称证明。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9.拟办企业营业场所、仓库平面布置图（详细注明面积和功能区域等）及房屋产权证明。</w:t>
      </w:r>
    </w:p>
    <w:p>
      <w:pPr>
        <w:spacing w:line="579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10.拟办企业质量管理文件及仓储设施设备目录。</w:t>
      </w:r>
    </w:p>
    <w:p>
      <w:pPr>
        <w:spacing w:line="579" w:lineRule="exact"/>
        <w:ind w:firstLine="640" w:firstLineChars="20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四、公示审批程序、受理条件和办理标准，公开办理进度</w:t>
      </w:r>
    </w:p>
    <w:p>
      <w:pPr>
        <w:spacing w:line="579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在省药品监督管理局门户网站设立办事指南专栏，对办理程序、提交的资料、时限等要求均予以公布，适用的法律法规、相关标准也在网站进行发布。办理进展可以在电子审批系统中查阅，办结事项会在系统中进行提醒。</w:t>
      </w:r>
    </w:p>
    <w:p>
      <w:pPr>
        <w:spacing w:line="579" w:lineRule="exact"/>
        <w:ind w:firstLine="640" w:firstLineChars="20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五、推进部门间信息共享应用，加强事中事后监管</w:t>
      </w:r>
    </w:p>
    <w:p>
      <w:pPr>
        <w:spacing w:line="579" w:lineRule="exact"/>
        <w:ind w:firstLine="600"/>
        <w:rPr>
          <w:rFonts w:ascii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（一）加强日常监督管理。</w:t>
      </w:r>
      <w:r>
        <w:rPr>
          <w:rFonts w:hint="eastAsia" w:ascii="仿宋_GB2312"/>
          <w:szCs w:val="32"/>
        </w:rPr>
        <w:t>按照“四有两责”要求，落实属地监管责任，按照属地负责、全面覆盖的原则，加强设区市药品监督管理部门与县（市、区）药品监督管理部门的分工协作，明确各自的监管区域、监管对象和监管职责，推行完善“网络化”监管机制，加强药品批发企业监管，切实做到对辖区内药品批发企业的全覆盖检查，建立健全监督检查档案。</w:t>
      </w:r>
    </w:p>
    <w:p>
      <w:pPr>
        <w:spacing w:line="579" w:lineRule="exact"/>
        <w:ind w:firstLine="600"/>
        <w:rPr>
          <w:rFonts w:ascii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（二）组织开展双随机检查和飞行检查。</w:t>
      </w:r>
      <w:r>
        <w:rPr>
          <w:rFonts w:hint="eastAsia" w:ascii="仿宋_GB2312"/>
          <w:szCs w:val="32"/>
        </w:rPr>
        <w:t>在日常监管全覆盖的基础上，重点针对高风险企业、举报投诉多的企业、日常管理不到位和多次违规的企业开展飞行检查或双随机检查，并将检查情况面向社会公开。</w:t>
      </w:r>
    </w:p>
    <w:p>
      <w:pPr>
        <w:spacing w:line="579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（三）加强社会监督。</w:t>
      </w:r>
      <w:r>
        <w:rPr>
          <w:rFonts w:hint="eastAsia" w:ascii="仿宋_GB2312"/>
          <w:szCs w:val="32"/>
        </w:rPr>
        <w:t>鼓励群众和企业举报投诉，对举报投诉较多的企业进行重点管理，对实名举报进行一一核实，检查覆盖率100%，对上级交办的案件落实率100%。</w:t>
      </w: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w w:val="96"/>
          <w:sz w:val="36"/>
          <w:szCs w:val="36"/>
        </w:rPr>
      </w:pPr>
    </w:p>
    <w:p>
      <w:pPr>
        <w:spacing w:line="579" w:lineRule="exact"/>
        <w:jc w:val="left"/>
        <w:rPr>
          <w:rFonts w:hint="eastAsia" w:ascii="宋体" w:hAnsi="宋体" w:cs="宋体"/>
          <w:szCs w:val="32"/>
        </w:rPr>
      </w:pPr>
    </w:p>
    <w:p>
      <w:pPr>
        <w:spacing w:line="579" w:lineRule="exact"/>
        <w:jc w:val="left"/>
        <w:rPr>
          <w:rFonts w:hint="eastAsia" w:ascii="宋体" w:hAnsi="宋体" w:cs="宋体"/>
          <w:szCs w:val="32"/>
        </w:rPr>
      </w:pPr>
    </w:p>
    <w:p>
      <w:pPr>
        <w:spacing w:line="579" w:lineRule="exact"/>
        <w:jc w:val="left"/>
        <w:rPr>
          <w:rFonts w:hint="eastAsia" w:ascii="宋体" w:hAnsi="宋体" w:cs="宋体"/>
          <w:szCs w:val="32"/>
        </w:rPr>
      </w:pPr>
    </w:p>
    <w:p>
      <w:pPr>
        <w:spacing w:line="579" w:lineRule="exact"/>
        <w:rPr>
          <w:rFonts w:hint="eastAsia" w:ascii="仿宋_GB2312"/>
          <w:szCs w:val="32"/>
        </w:rPr>
      </w:pPr>
      <w:bookmarkStart w:id="0" w:name="_GoBack"/>
      <w:bookmarkEnd w:id="0"/>
      <w:r>
        <w:rPr>
          <w:rFonts w:hint="eastAsia" w:ascii="仿宋_GB2312"/>
          <w:szCs w:val="32"/>
        </w:rPr>
        <w:t xml:space="preserve">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158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290376"/>
      <w:docPartObj>
        <w:docPartGallery w:val="autotext"/>
      </w:docPartObj>
    </w:sdtPr>
    <w:sdtEndPr>
      <w:rPr>
        <w:rFonts w:hint="eastAsia" w:ascii="仿宋_GB2312"/>
        <w:sz w:val="28"/>
        <w:szCs w:val="28"/>
      </w:rPr>
    </w:sdtEndPr>
    <w:sdtContent>
      <w:p>
        <w:pPr>
          <w:pStyle w:val="8"/>
          <w:ind w:firstLine="360" w:firstLineChars="200"/>
          <w:jc w:val="right"/>
          <w:rPr>
            <w:rFonts w:ascii="仿宋_GB2312"/>
            <w:sz w:val="28"/>
            <w:szCs w:val="28"/>
          </w:rPr>
        </w:pPr>
        <w:r>
          <w:rPr>
            <w:rFonts w:hint="eastAsia" w:ascii="仿宋_GB2312"/>
            <w:sz w:val="28"/>
            <w:szCs w:val="28"/>
          </w:rPr>
          <w:t xml:space="preserve">— </w:t>
        </w:r>
        <w:r>
          <w:rPr>
            <w:rFonts w:hint="eastAsia" w:ascii="仿宋_GB2312"/>
            <w:sz w:val="28"/>
            <w:szCs w:val="28"/>
          </w:rPr>
          <w:fldChar w:fldCharType="begin"/>
        </w:r>
        <w:r>
          <w:rPr>
            <w:rFonts w:hint="eastAsia" w:ascii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/>
            <w:sz w:val="28"/>
            <w:szCs w:val="28"/>
          </w:rPr>
          <w:fldChar w:fldCharType="separate"/>
        </w:r>
        <w:r>
          <w:rPr>
            <w:rFonts w:ascii="仿宋_GB2312"/>
            <w:sz w:val="28"/>
            <w:szCs w:val="28"/>
            <w:lang w:val="zh-CN"/>
          </w:rPr>
          <w:t>72</w:t>
        </w:r>
        <w:r>
          <w:rPr>
            <w:rFonts w:hint="eastAsia" w:ascii="仿宋_GB2312"/>
            <w:sz w:val="28"/>
            <w:szCs w:val="28"/>
          </w:rPr>
          <w:fldChar w:fldCharType="end"/>
        </w:r>
        <w:r>
          <w:rPr>
            <w:rFonts w:hint="eastAsia" w:ascii="仿宋_GB2312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290431"/>
      <w:docPartObj>
        <w:docPartGallery w:val="autotext"/>
      </w:docPartObj>
    </w:sdtPr>
    <w:sdtContent>
      <w:p>
        <w:pPr>
          <w:pStyle w:val="8"/>
          <w:widowControl/>
          <w:numPr>
            <w:ilvl w:val="0"/>
            <w:numId w:val="1"/>
          </w:numPr>
          <w:adjustRightInd w:val="0"/>
        </w:pPr>
        <w:r>
          <w:rPr>
            <w:rFonts w:hint="eastAsia" w:ascii="仿宋_GB2312"/>
            <w:sz w:val="28"/>
            <w:szCs w:val="28"/>
          </w:rPr>
          <w:fldChar w:fldCharType="begin"/>
        </w:r>
        <w:r>
          <w:rPr>
            <w:rFonts w:hint="eastAsia" w:ascii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/>
            <w:sz w:val="28"/>
            <w:szCs w:val="28"/>
          </w:rPr>
          <w:fldChar w:fldCharType="separate"/>
        </w:r>
        <w:r>
          <w:rPr>
            <w:rFonts w:ascii="仿宋_GB2312"/>
            <w:sz w:val="28"/>
            <w:szCs w:val="28"/>
            <w:lang w:val="zh-CN"/>
          </w:rPr>
          <w:t>2</w:t>
        </w:r>
        <w:r>
          <w:rPr>
            <w:rFonts w:hint="eastAsia" w:ascii="仿宋_GB2312"/>
            <w:sz w:val="28"/>
            <w:szCs w:val="28"/>
          </w:rPr>
          <w:fldChar w:fldCharType="end"/>
        </w:r>
        <w:r>
          <w:rPr>
            <w:rFonts w:hint="eastAsia" w:ascii="仿宋_GB2312"/>
            <w:sz w:val="28"/>
            <w:szCs w:val="28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4CC"/>
    <w:multiLevelType w:val="multilevel"/>
    <w:tmpl w:val="046374CC"/>
    <w:lvl w:ilvl="0" w:tentative="0">
      <w:start w:val="2"/>
      <w:numFmt w:val="bullet"/>
      <w:pStyle w:val="10"/>
      <w:lvlText w:val="—"/>
      <w:lvlJc w:val="left"/>
      <w:pPr>
        <w:ind w:left="360" w:hanging="360"/>
      </w:pPr>
      <w:rPr>
        <w:rFonts w:hint="eastAsia" w:ascii="仿宋_GB2312" w:hAnsi="Tahoma" w:eastAsia="仿宋_GB2312" w:cstheme="minorBidi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601A"/>
    <w:rsid w:val="0002748A"/>
    <w:rsid w:val="000F26AB"/>
    <w:rsid w:val="0018601A"/>
    <w:rsid w:val="001B1D87"/>
    <w:rsid w:val="002B1AB8"/>
    <w:rsid w:val="00343B87"/>
    <w:rsid w:val="00352F7F"/>
    <w:rsid w:val="00382272"/>
    <w:rsid w:val="00385EF4"/>
    <w:rsid w:val="0051481C"/>
    <w:rsid w:val="005F311F"/>
    <w:rsid w:val="007B414F"/>
    <w:rsid w:val="007F6B6D"/>
    <w:rsid w:val="00832987"/>
    <w:rsid w:val="008E6BBB"/>
    <w:rsid w:val="009F146D"/>
    <w:rsid w:val="00B33BE8"/>
    <w:rsid w:val="00B37AA9"/>
    <w:rsid w:val="00BB6A6C"/>
    <w:rsid w:val="00BC4DEB"/>
    <w:rsid w:val="00D12076"/>
    <w:rsid w:val="00E0751F"/>
    <w:rsid w:val="00EA338C"/>
    <w:rsid w:val="00EC75DD"/>
    <w:rsid w:val="00F27324"/>
    <w:rsid w:val="00F973EE"/>
    <w:rsid w:val="15573FA0"/>
    <w:rsid w:val="1F266157"/>
    <w:rsid w:val="1FA91D05"/>
    <w:rsid w:val="3E7F2560"/>
    <w:rsid w:val="529D677F"/>
    <w:rsid w:val="782C5DA0"/>
    <w:rsid w:val="7929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link w:val="20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方正小标宋简体" w:cs="Times New Roman"/>
      <w:b/>
      <w:bCs/>
      <w:sz w:val="4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22"/>
    <w:semiHidden/>
    <w:qFormat/>
    <w:uiPriority w:val="0"/>
    <w:rPr>
      <w:b/>
      <w:bCs/>
    </w:rPr>
  </w:style>
  <w:style w:type="paragraph" w:styleId="6">
    <w:name w:val="annotation text"/>
    <w:basedOn w:val="1"/>
    <w:link w:val="21"/>
    <w:semiHidden/>
    <w:qFormat/>
    <w:uiPriority w:val="0"/>
    <w:pPr>
      <w:jc w:val="left"/>
    </w:pPr>
    <w:rPr>
      <w:rFonts w:ascii="Times New Roman" w:hAnsi="Times New Roman" w:cs="Times New Roman"/>
      <w:szCs w:val="24"/>
    </w:rPr>
  </w:style>
  <w:style w:type="paragraph" w:styleId="7">
    <w:name w:val="Balloon Text"/>
    <w:basedOn w:val="1"/>
    <w:link w:val="23"/>
    <w:semiHidden/>
    <w:qFormat/>
    <w:uiPriority w:val="0"/>
    <w:rPr>
      <w:rFonts w:ascii="Times New Roman" w:hAnsi="Times New Roman" w:cs="Times New Roman"/>
      <w:sz w:val="18"/>
      <w:szCs w:val="18"/>
    </w:rPr>
  </w:style>
  <w:style w:type="paragraph" w:styleId="8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4"/>
    <w:unhideWhenUsed/>
    <w:qFormat/>
    <w:uiPriority w:val="99"/>
    <w:pPr>
      <w:numPr>
        <w:ilvl w:val="0"/>
        <w:numId w:val="1"/>
      </w:numPr>
      <w:tabs>
        <w:tab w:val="left" w:pos="0"/>
      </w:tabs>
      <w:snapToGrid w:val="0"/>
      <w:jc w:val="left"/>
    </w:pPr>
    <w:rPr>
      <w:rFonts w:ascii="宋体" w:hAnsi="Calibri" w:eastAsia="宋体" w:cs="Times New Roman"/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6">
    <w:name w:val="页眉 Char"/>
    <w:basedOn w:val="12"/>
    <w:link w:val="9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8">
    <w:name w:val="标题 1 Char"/>
    <w:basedOn w:val="12"/>
    <w:link w:val="2"/>
    <w:qFormat/>
    <w:uiPriority w:val="0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9">
    <w:name w:val="标题 2 Char"/>
    <w:basedOn w:val="12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basedOn w:val="12"/>
    <w:link w:val="4"/>
    <w:qFormat/>
    <w:uiPriority w:val="0"/>
    <w:rPr>
      <w:rFonts w:ascii="Times New Roman" w:hAnsi="Times New Roman" w:eastAsia="方正小标宋简体" w:cs="Times New Roman"/>
      <w:b/>
      <w:bCs/>
      <w:sz w:val="42"/>
      <w:szCs w:val="32"/>
    </w:rPr>
  </w:style>
  <w:style w:type="character" w:customStyle="1" w:styleId="21">
    <w:name w:val="批注文字 Char"/>
    <w:basedOn w:val="12"/>
    <w:link w:val="6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22">
    <w:name w:val="批注主题 Char"/>
    <w:basedOn w:val="21"/>
    <w:link w:val="5"/>
    <w:semiHidden/>
    <w:qFormat/>
    <w:uiPriority w:val="0"/>
    <w:rPr>
      <w:b/>
      <w:bCs/>
    </w:rPr>
  </w:style>
  <w:style w:type="character" w:customStyle="1" w:styleId="23">
    <w:name w:val="批注框文本 Char"/>
    <w:basedOn w:val="12"/>
    <w:link w:val="7"/>
    <w:semiHidden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24">
    <w:name w:val="脚注文本 Char"/>
    <w:basedOn w:val="12"/>
    <w:link w:val="10"/>
    <w:qFormat/>
    <w:uiPriority w:val="99"/>
    <w:rPr>
      <w:rFonts w:ascii="宋体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72</Pages>
  <Words>14031</Words>
  <Characters>14313</Characters>
  <Lines>1022</Lines>
  <Paragraphs>726</Paragraphs>
  <TotalTime>1</TotalTime>
  <ScaleCrop>false</ScaleCrop>
  <LinksUpToDate>false</LinksUpToDate>
  <CharactersWithSpaces>27618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2018-09-30T01:40:00Z</dcterms:created>
  <dc:creator>陈宏</dc:creator>
  <cp:lastModifiedBy>郭波</cp:lastModifiedBy>
  <dcterms:modified xsi:type="dcterms:W3CDTF">2018-12-29T02:29:32Z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